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5B88" w:rsidRDefault="00AF797B">
      <w:pPr>
        <w:pStyle w:val="normal0"/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                                </w:t>
      </w:r>
      <w:r>
        <w:rPr>
          <w:rFonts w:ascii="Arial" w:eastAsia="Arial" w:hAnsi="Arial" w:cs="Arial"/>
          <w:b/>
          <w:sz w:val="32"/>
          <w:szCs w:val="32"/>
        </w:rPr>
        <w:t>Senescencia y Trasplante Renal</w:t>
      </w:r>
    </w:p>
    <w:p w:rsidR="00775B88" w:rsidRDefault="00AF797B">
      <w:pPr>
        <w:pStyle w:val="normal0"/>
        <w:spacing w:line="480" w:lineRule="auto"/>
        <w:jc w:val="both"/>
      </w:pPr>
      <w:r>
        <w:rPr>
          <w:rFonts w:ascii="Arial" w:eastAsia="Arial" w:hAnsi="Arial" w:cs="Arial"/>
          <w:sz w:val="24"/>
          <w:szCs w:val="24"/>
        </w:rPr>
        <w:t>La sobrevida  del  injerto renal está  determinada por factores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Inmunológico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z w:val="24"/>
          <w:szCs w:val="24"/>
        </w:rPr>
        <w:t> no Inmunológico</w:t>
      </w:r>
      <w:r>
        <w:rPr>
          <w:rFonts w:ascii="Arial" w:eastAsia="Arial" w:hAnsi="Arial" w:cs="Arial"/>
          <w:sz w:val="24"/>
          <w:szCs w:val="24"/>
        </w:rPr>
        <w:t xml:space="preserve">, en este </w:t>
      </w:r>
      <w:r>
        <w:rPr>
          <w:rFonts w:ascii="Arial" w:eastAsia="Arial" w:hAnsi="Arial" w:cs="Arial"/>
          <w:sz w:val="24"/>
          <w:szCs w:val="24"/>
        </w:rPr>
        <w:t xml:space="preserve"> la edad del donante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 un factor determinante. El envejecimiento  o  Senescencia (SCS)  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 un fenómeno </w:t>
      </w:r>
      <w:r>
        <w:rPr>
          <w:rFonts w:ascii="Arial" w:eastAsia="Arial" w:hAnsi="Arial" w:cs="Arial"/>
          <w:sz w:val="24"/>
          <w:szCs w:val="24"/>
        </w:rPr>
        <w:t>donde las</w:t>
      </w:r>
      <w:r>
        <w:rPr>
          <w:rFonts w:ascii="Arial" w:eastAsia="Arial" w:hAnsi="Arial" w:cs="Arial"/>
          <w:sz w:val="24"/>
          <w:szCs w:val="24"/>
        </w:rPr>
        <w:t xml:space="preserve"> células somáticas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viables y metabólicamente activas son incapaces  de reentrar en ciclo celula</w:t>
      </w:r>
      <w:r>
        <w:rPr>
          <w:rFonts w:ascii="Arial" w:eastAsia="Arial" w:hAnsi="Arial" w:cs="Arial"/>
          <w:sz w:val="24"/>
          <w:szCs w:val="24"/>
        </w:rPr>
        <w:t>r. Hay</w:t>
      </w:r>
      <w:r>
        <w:rPr>
          <w:rFonts w:ascii="Arial" w:eastAsia="Arial" w:hAnsi="Arial" w:cs="Arial"/>
          <w:sz w:val="24"/>
          <w:szCs w:val="24"/>
        </w:rPr>
        <w:t xml:space="preserve"> dos vías inductoras de senescencia: una “telómero dependiente”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onde el</w:t>
      </w:r>
      <w:r>
        <w:rPr>
          <w:rFonts w:ascii="Arial" w:eastAsia="Arial" w:hAnsi="Arial" w:cs="Arial"/>
          <w:sz w:val="24"/>
          <w:szCs w:val="24"/>
        </w:rPr>
        <w:t xml:space="preserve">  acortamiento de los telómeros determina  activación de inhibidores de kinasas de  ciclinas del ciclo celular como la  p21, denominada  senescencia replicativa  y  </w:t>
      </w:r>
      <w:r>
        <w:rPr>
          <w:rFonts w:ascii="Arial" w:eastAsia="Arial" w:hAnsi="Arial" w:cs="Arial"/>
          <w:sz w:val="24"/>
          <w:szCs w:val="24"/>
        </w:rPr>
        <w:t>otra</w:t>
      </w:r>
      <w:r>
        <w:rPr>
          <w:rFonts w:ascii="Arial" w:eastAsia="Arial" w:hAnsi="Arial" w:cs="Arial"/>
          <w:sz w:val="24"/>
          <w:szCs w:val="24"/>
        </w:rPr>
        <w:t xml:space="preserve">  vía “telómero independiente” en la</w:t>
      </w:r>
      <w:r>
        <w:rPr>
          <w:rFonts w:ascii="Arial" w:eastAsia="Arial" w:hAnsi="Arial" w:cs="Arial"/>
          <w:sz w:val="24"/>
          <w:szCs w:val="24"/>
        </w:rPr>
        <w:t xml:space="preserve"> 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 xml:space="preserve"> estrés celular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 activan inhibidores </w:t>
      </w:r>
      <w:r>
        <w:rPr>
          <w:rFonts w:ascii="Arial" w:eastAsia="Arial" w:hAnsi="Arial" w:cs="Arial"/>
          <w:sz w:val="24"/>
          <w:szCs w:val="24"/>
        </w:rPr>
        <w:t>de kinasas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ciclinas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del ciclo celular como p16 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INK4a </w:t>
      </w:r>
      <w:r>
        <w:rPr>
          <w:rFonts w:ascii="Arial" w:eastAsia="Arial" w:hAnsi="Arial" w:cs="Arial"/>
          <w:sz w:val="24"/>
          <w:szCs w:val="24"/>
        </w:rPr>
        <w:t>generando  senescencia acelerada.</w:t>
      </w:r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injerto renal </w:t>
      </w:r>
      <w:r>
        <w:rPr>
          <w:rFonts w:ascii="Arial" w:eastAsia="Arial" w:hAnsi="Arial" w:cs="Arial"/>
          <w:sz w:val="24"/>
          <w:szCs w:val="24"/>
        </w:rPr>
        <w:t xml:space="preserve">esta sometido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 xml:space="preserve">multiples </w:t>
      </w:r>
      <w:r>
        <w:rPr>
          <w:rFonts w:ascii="Arial" w:eastAsia="Arial" w:hAnsi="Arial" w:cs="Arial"/>
          <w:sz w:val="24"/>
          <w:szCs w:val="24"/>
        </w:rPr>
        <w:t>injurias 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squemia de reperfusión, isquemia fría,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rechazo, toxicidad por drogas), el bloqueo  del  ciclo celular generado  </w:t>
      </w:r>
      <w:r>
        <w:rPr>
          <w:rFonts w:ascii="Arial" w:eastAsia="Arial" w:hAnsi="Arial" w:cs="Arial"/>
          <w:sz w:val="24"/>
          <w:szCs w:val="24"/>
        </w:rPr>
        <w:t>en las células somáticas del injerto expres</w:t>
      </w:r>
      <w:r>
        <w:rPr>
          <w:rFonts w:ascii="Arial" w:eastAsia="Arial" w:hAnsi="Arial" w:cs="Arial"/>
          <w:sz w:val="24"/>
          <w:szCs w:val="24"/>
        </w:rPr>
        <w:t>ando</w:t>
      </w:r>
      <w:r>
        <w:rPr>
          <w:rFonts w:ascii="Arial" w:eastAsia="Arial" w:hAnsi="Arial" w:cs="Arial"/>
          <w:sz w:val="24"/>
          <w:szCs w:val="24"/>
        </w:rPr>
        <w:t xml:space="preserve"> p16</w:t>
      </w:r>
      <w:r>
        <w:rPr>
          <w:rFonts w:ascii="Arial" w:eastAsia="Arial" w:hAnsi="Arial" w:cs="Arial"/>
          <w:sz w:val="24"/>
          <w:szCs w:val="24"/>
        </w:rPr>
        <w:t xml:space="preserve"> muestra la activación de la vía telómero-independiente acelerando el desarrollo de fibrosis intersticial y atrofia tubular en el injerto.</w:t>
      </w:r>
    </w:p>
    <w:p w:rsidR="00775B88" w:rsidRDefault="00AF797B">
      <w:pPr>
        <w:pStyle w:val="normal0"/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OBJETIVO: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valuar la asociación de la  expresión de p16</w:t>
      </w:r>
      <w:r>
        <w:rPr>
          <w:rFonts w:ascii="Arial" w:eastAsia="Arial" w:hAnsi="Arial" w:cs="Arial"/>
          <w:sz w:val="24"/>
          <w:szCs w:val="24"/>
          <w:vertAlign w:val="superscript"/>
        </w:rPr>
        <w:t>INK4a</w:t>
      </w:r>
      <w:r>
        <w:rPr>
          <w:rFonts w:ascii="Arial" w:eastAsia="Arial" w:hAnsi="Arial" w:cs="Arial"/>
          <w:sz w:val="24"/>
          <w:szCs w:val="24"/>
        </w:rPr>
        <w:t xml:space="preserve"> , en </w:t>
      </w:r>
      <w:r>
        <w:rPr>
          <w:rFonts w:ascii="Arial" w:eastAsia="Arial" w:hAnsi="Arial" w:cs="Arial"/>
          <w:sz w:val="24"/>
          <w:szCs w:val="24"/>
        </w:rPr>
        <w:t>biopsias (Bx) de injertos renales,  desarrollo de lesiones histologícas  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variables  clínicas  con   impacto en la sobrevida del injerto .</w:t>
      </w:r>
    </w:p>
    <w:p w:rsidR="00775B88" w:rsidRDefault="00AF797B">
      <w:pPr>
        <w:pStyle w:val="normal0"/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MATERIAL Y METODOS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acientes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 xml:space="preserve"> primer trasplante renal   en el Hospital Italiano de Buenos Aires   durante el 2016. </w:t>
      </w:r>
      <w:r>
        <w:rPr>
          <w:rFonts w:ascii="Arial" w:eastAsia="Arial" w:hAnsi="Arial" w:cs="Arial"/>
          <w:sz w:val="24"/>
          <w:szCs w:val="24"/>
        </w:rPr>
        <w:t>Evaluar funcion renal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Creatinina sérica, filtrado glomerular y Proteinuria</w:t>
      </w:r>
      <w:r>
        <w:rPr>
          <w:rFonts w:ascii="Arial" w:eastAsia="Arial" w:hAnsi="Arial" w:cs="Arial"/>
          <w:sz w:val="24"/>
          <w:szCs w:val="24"/>
        </w:rPr>
        <w:t xml:space="preserve"> al 1</w:t>
      </w:r>
      <w:r>
        <w:rPr>
          <w:rFonts w:ascii="Arial" w:eastAsia="Arial" w:hAnsi="Arial" w:cs="Arial"/>
          <w:sz w:val="24"/>
          <w:szCs w:val="24"/>
        </w:rPr>
        <w:t>, 3, 6, y 12 meses post Tx.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analizarán </w:t>
      </w:r>
      <w:r>
        <w:rPr>
          <w:rFonts w:ascii="Arial" w:eastAsia="Arial" w:hAnsi="Arial" w:cs="Arial"/>
          <w:sz w:val="24"/>
          <w:szCs w:val="24"/>
        </w:rPr>
        <w:t xml:space="preserve">Bx </w:t>
      </w:r>
      <w:r>
        <w:rPr>
          <w:rFonts w:ascii="Arial" w:eastAsia="Arial" w:hAnsi="Arial" w:cs="Arial"/>
          <w:sz w:val="24"/>
          <w:szCs w:val="24"/>
        </w:rPr>
        <w:t>renales basal (al  implante), y a los 12 m</w:t>
      </w:r>
      <w:r>
        <w:rPr>
          <w:rFonts w:ascii="Arial" w:eastAsia="Arial" w:hAnsi="Arial" w:cs="Arial"/>
          <w:sz w:val="24"/>
          <w:szCs w:val="24"/>
        </w:rPr>
        <w:t xml:space="preserve">eses post Tx y </w:t>
      </w:r>
      <w:r>
        <w:rPr>
          <w:rFonts w:ascii="Arial" w:eastAsia="Arial" w:hAnsi="Arial" w:cs="Arial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z w:val="24"/>
          <w:szCs w:val="24"/>
        </w:rPr>
        <w:t> deterioro de la función renal</w:t>
      </w:r>
      <w:r>
        <w:rPr>
          <w:rFonts w:ascii="Arial" w:eastAsia="Arial" w:hAnsi="Arial" w:cs="Arial"/>
          <w:sz w:val="24"/>
          <w:szCs w:val="24"/>
        </w:rPr>
        <w:t xml:space="preserve"> y/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proteinuria&gt;500mg/24hs.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realizará marcación para p16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INK4a   </w:t>
      </w:r>
      <w:r>
        <w:rPr>
          <w:rFonts w:ascii="Arial" w:eastAsia="Arial" w:hAnsi="Arial" w:cs="Arial"/>
          <w:sz w:val="24"/>
          <w:szCs w:val="24"/>
        </w:rPr>
        <w:t>Cintec Histology (clon EGH4) por Inmunohistoquímica con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 sistema automatizado  Ventana  BENCHMARK - XT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 xml:space="preserve">Los datos </w:t>
      </w:r>
      <w:r>
        <w:rPr>
          <w:rFonts w:ascii="Arial" w:eastAsia="Arial" w:hAnsi="Arial" w:cs="Arial"/>
          <w:sz w:val="24"/>
          <w:szCs w:val="24"/>
        </w:rPr>
        <w:t>para el analisis ser</w:t>
      </w:r>
      <w:r>
        <w:rPr>
          <w:rFonts w:ascii="Arial" w:eastAsia="Arial" w:hAnsi="Arial" w:cs="Arial"/>
          <w:sz w:val="24"/>
          <w:szCs w:val="24"/>
        </w:rPr>
        <w:t>an  demograficos de donante y receptor, caracteristicas del trasplante, retardo de la funcion del graft, rechazo, inmunosupresion.</w:t>
      </w:r>
    </w:p>
    <w:p w:rsidR="00775B88" w:rsidRDefault="00775B88">
      <w:pPr>
        <w:pStyle w:val="normal0"/>
        <w:spacing w:line="480" w:lineRule="auto"/>
        <w:jc w:val="both"/>
      </w:pPr>
    </w:p>
    <w:p w:rsidR="00775B88" w:rsidRDefault="00AF797B">
      <w:pPr>
        <w:pStyle w:val="normal0"/>
        <w:spacing w:after="240" w:line="480" w:lineRule="auto"/>
        <w:jc w:val="both"/>
      </w:pPr>
      <w:r>
        <w:rPr>
          <w:rFonts w:ascii="Arial" w:eastAsia="Arial" w:hAnsi="Arial" w:cs="Arial"/>
          <w:sz w:val="24"/>
          <w:szCs w:val="24"/>
        </w:rPr>
        <w:br/>
      </w:r>
    </w:p>
    <w:p w:rsidR="00775B88" w:rsidRDefault="00775B88">
      <w:pPr>
        <w:pStyle w:val="normal0"/>
        <w:spacing w:line="480" w:lineRule="auto"/>
        <w:jc w:val="both"/>
      </w:pPr>
    </w:p>
    <w:p w:rsidR="00775B88" w:rsidRDefault="00775B88">
      <w:pPr>
        <w:pStyle w:val="normal0"/>
        <w:spacing w:line="480" w:lineRule="auto"/>
        <w:jc w:val="both"/>
      </w:pPr>
    </w:p>
    <w:p w:rsidR="00775B88" w:rsidRDefault="00775B88">
      <w:pPr>
        <w:pStyle w:val="normal0"/>
        <w:spacing w:line="480" w:lineRule="auto"/>
        <w:jc w:val="both"/>
      </w:pPr>
    </w:p>
    <w:p w:rsidR="00775B88" w:rsidRDefault="00775B88">
      <w:pPr>
        <w:pStyle w:val="normal0"/>
        <w:spacing w:after="0" w:line="480" w:lineRule="auto"/>
        <w:jc w:val="both"/>
      </w:pPr>
    </w:p>
    <w:p w:rsidR="00775B88" w:rsidRDefault="00775B88">
      <w:pPr>
        <w:pStyle w:val="normal0"/>
        <w:spacing w:line="480" w:lineRule="auto"/>
        <w:jc w:val="both"/>
      </w:pPr>
    </w:p>
    <w:sectPr w:rsidR="00775B88" w:rsidSect="00775B88">
      <w:footerReference w:type="default" r:id="rId6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7B" w:rsidRDefault="00AF797B" w:rsidP="00775B88">
      <w:pPr>
        <w:spacing w:after="0" w:line="240" w:lineRule="auto"/>
      </w:pPr>
      <w:r>
        <w:separator/>
      </w:r>
    </w:p>
  </w:endnote>
  <w:endnote w:type="continuationSeparator" w:id="0">
    <w:p w:rsidR="00AF797B" w:rsidRDefault="00AF797B" w:rsidP="007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88" w:rsidRDefault="00775B88">
    <w:pPr>
      <w:pStyle w:val="normal0"/>
      <w:tabs>
        <w:tab w:val="center" w:pos="4419"/>
        <w:tab w:val="right" w:pos="8838"/>
      </w:tabs>
      <w:jc w:val="right"/>
    </w:pPr>
  </w:p>
  <w:p w:rsidR="00775B88" w:rsidRDefault="00775B88">
    <w:pPr>
      <w:pStyle w:val="normal0"/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7B" w:rsidRDefault="00AF797B" w:rsidP="00775B88">
      <w:pPr>
        <w:spacing w:after="0" w:line="240" w:lineRule="auto"/>
      </w:pPr>
      <w:r>
        <w:separator/>
      </w:r>
    </w:p>
  </w:footnote>
  <w:footnote w:type="continuationSeparator" w:id="0">
    <w:p w:rsidR="00AF797B" w:rsidRDefault="00AF797B" w:rsidP="00775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B88"/>
    <w:rsid w:val="00277CD4"/>
    <w:rsid w:val="00775B88"/>
    <w:rsid w:val="00A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75B8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75B8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75B8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75B8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75B88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775B8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75B88"/>
  </w:style>
  <w:style w:type="table" w:customStyle="1" w:styleId="TableNormal">
    <w:name w:val="Table Normal"/>
    <w:rsid w:val="00775B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75B8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75B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Rosa Diez</dc:creator>
  <cp:lastModifiedBy>grosadiez</cp:lastModifiedBy>
  <cp:revision>2</cp:revision>
  <dcterms:created xsi:type="dcterms:W3CDTF">2016-09-14T11:20:00Z</dcterms:created>
  <dcterms:modified xsi:type="dcterms:W3CDTF">2016-09-14T11:20:00Z</dcterms:modified>
</cp:coreProperties>
</file>